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BCFDE7" w14:textId="77777777" w:rsidR="002D46DB" w:rsidRDefault="00956AF2" w:rsidP="00956AF2">
      <w:pPr>
        <w:tabs>
          <w:tab w:val="left" w:pos="1893"/>
        </w:tabs>
        <w:rPr>
          <w:rFonts w:ascii="FuturaTMedRo1" w:eastAsiaTheme="minorHAnsi" w:hAnsi="FuturaTMedRo1" w:cs="Arial"/>
          <w:b/>
          <w:bCs/>
          <w:sz w:val="32"/>
          <w:szCs w:val="32"/>
          <w:lang w:val="es-ES_tradnl"/>
        </w:rPr>
      </w:pPr>
      <w:r>
        <w:rPr>
          <w:noProof/>
        </w:rPr>
        <mc:AlternateContent>
          <mc:Choice Requires="wps">
            <w:drawing>
              <wp:anchor distT="0" distB="0" distL="114300" distR="114300" simplePos="0" relativeHeight="251658240" behindDoc="0" locked="0" layoutInCell="1" allowOverlap="1" wp14:anchorId="24573E0D" wp14:editId="41F44719">
                <wp:simplePos x="0" y="0"/>
                <wp:positionH relativeFrom="margin">
                  <wp:posOffset>-914400</wp:posOffset>
                </wp:positionH>
                <wp:positionV relativeFrom="page">
                  <wp:posOffset>457200</wp:posOffset>
                </wp:positionV>
                <wp:extent cx="2857500" cy="1714500"/>
                <wp:effectExtent l="0" t="0" r="12700" b="12700"/>
                <wp:wrapThrough wrapText="bothSides">
                  <wp:wrapPolygon edited="0">
                    <wp:start x="0" y="0"/>
                    <wp:lineTo x="0" y="21440"/>
                    <wp:lineTo x="21504" y="21440"/>
                    <wp:lineTo x="21504" y="0"/>
                    <wp:lineTo x="0"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71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F03319" w14:textId="77777777" w:rsidR="00956AF2" w:rsidRPr="00B21011" w:rsidRDefault="00956AF2" w:rsidP="00EF6DD8">
                            <w:pPr>
                              <w:pStyle w:val="EnvelopeReturn"/>
                              <w:rPr>
                                <w:rFonts w:ascii="FuturaTMedRo1" w:hAnsi="FuturaTMedRo1"/>
                                <w:spacing w:val="80"/>
                                <w:sz w:val="240"/>
                              </w:rPr>
                            </w:pPr>
                            <w:bookmarkStart w:id="0" w:name="_EnvelopeReturn"/>
                            <w:r w:rsidRPr="00B21011">
                              <w:rPr>
                                <w:rFonts w:ascii="FuturaTMedRo1" w:hAnsi="FuturaTMedRo1"/>
                                <w:spacing w:val="80"/>
                                <w:sz w:val="240"/>
                              </w:rPr>
                              <w:t>ICI</w:t>
                            </w:r>
                          </w:p>
                          <w:p w14:paraId="36E50CE4" w14:textId="77777777" w:rsidR="00956AF2" w:rsidRDefault="00956AF2" w:rsidP="00EF6DD8">
                            <w:pPr>
                              <w:pStyle w:val="EnvelopeReturn"/>
                            </w:pPr>
                          </w:p>
                          <w:p w14:paraId="0C2C5342" w14:textId="77777777" w:rsidR="00956AF2" w:rsidRDefault="00956AF2" w:rsidP="00EF6DD8">
                            <w:pPr>
                              <w:pStyle w:val="EnvelopeReturn"/>
                            </w:pPr>
                          </w:p>
                          <w:p w14:paraId="1B82C8F2" w14:textId="77777777" w:rsidR="00956AF2" w:rsidRDefault="00956AF2" w:rsidP="00EF6DD8">
                            <w:pPr>
                              <w:pStyle w:val="EnvelopeReturn"/>
                            </w:pPr>
                          </w:p>
                          <w:p w14:paraId="0363A7B6" w14:textId="77777777" w:rsidR="00956AF2" w:rsidRDefault="00956AF2" w:rsidP="00EF6DD8">
                            <w:pPr>
                              <w:pStyle w:val="EnvelopeReturn"/>
                            </w:pPr>
                          </w:p>
                          <w:bookmarkEnd w:id="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71.95pt;margin-top:36pt;width:225pt;height:13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" filled="f" stroked="f">
                <v:textbox inset="0,0,0,0">
                  <w:txbxContent>
                    <w:p w14:paraId="41F03319" w14:textId="77777777" w:rsidR="00956AF2" w:rsidRPr="00B21011" w:rsidRDefault="00956AF2" w:rsidP="00EF6DD8">
                      <w:pPr>
                        <w:pStyle w:val="EnvelopeReturn"/>
                        <w:rPr>
                          <w:rFonts w:ascii="FuturaTMedRo1" w:hAnsi="FuturaTMedRo1"/>
                          <w:spacing w:val="80"/>
                          <w:sz w:val="240"/>
                        </w:rPr>
                      </w:pPr>
                      <w:bookmarkStart w:id="1" w:name="_EnvelopeReturn"/>
                      <w:r w:rsidRPr="00B21011">
                        <w:rPr>
                          <w:rFonts w:ascii="FuturaTMedRo1" w:hAnsi="FuturaTMedRo1"/>
                          <w:spacing w:val="80"/>
                          <w:sz w:val="240"/>
                        </w:rPr>
                        <w:t>ICI</w:t>
                      </w:r>
                    </w:p>
                    <w:p w14:paraId="36E50CE4" w14:textId="77777777" w:rsidR="00956AF2" w:rsidRDefault="00956AF2" w:rsidP="00EF6DD8">
                      <w:pPr>
                        <w:pStyle w:val="EnvelopeReturn"/>
                      </w:pPr>
                    </w:p>
                    <w:p w14:paraId="0C2C5342" w14:textId="77777777" w:rsidR="00956AF2" w:rsidRDefault="00956AF2" w:rsidP="00EF6DD8">
                      <w:pPr>
                        <w:pStyle w:val="EnvelopeReturn"/>
                      </w:pPr>
                    </w:p>
                    <w:p w14:paraId="1B82C8F2" w14:textId="77777777" w:rsidR="00956AF2" w:rsidRDefault="00956AF2" w:rsidP="00EF6DD8">
                      <w:pPr>
                        <w:pStyle w:val="EnvelopeReturn"/>
                      </w:pPr>
                    </w:p>
                    <w:p w14:paraId="0363A7B6" w14:textId="77777777" w:rsidR="00956AF2" w:rsidRDefault="00956AF2" w:rsidP="00EF6DD8">
                      <w:pPr>
                        <w:pStyle w:val="EnvelopeReturn"/>
                      </w:pPr>
                    </w:p>
                    <w:bookmarkEnd w:id="1"/>
                  </w:txbxContent>
                </v:textbox>
                <w10:wrap type="through" anchorx="margin" anchory="page"/>
              </v:shape>
            </w:pict>
          </mc:Fallback>
        </mc:AlternateContent>
      </w:r>
      <w:r>
        <w:rPr>
          <w:rFonts w:ascii="FuturaTMedRo1" w:eastAsiaTheme="minorHAnsi" w:hAnsi="FuturaTMedRo1" w:cs="Arial"/>
          <w:b/>
          <w:bCs/>
          <w:sz w:val="32"/>
          <w:szCs w:val="32"/>
          <w:lang w:val="es-ES_tradnl"/>
        </w:rPr>
        <w:t>L</w:t>
      </w:r>
      <w:r w:rsidRPr="001C7847">
        <w:rPr>
          <w:rFonts w:ascii="FuturaTMedRo1" w:eastAsiaTheme="minorHAnsi" w:hAnsi="FuturaTMedRo1" w:cs="Arial"/>
          <w:b/>
          <w:bCs/>
          <w:sz w:val="32"/>
          <w:szCs w:val="32"/>
          <w:lang w:val="es-ES_tradnl"/>
        </w:rPr>
        <w:t>a Beca 201</w:t>
      </w:r>
      <w:r>
        <w:rPr>
          <w:rFonts w:ascii="FuturaTMedRo1" w:eastAsiaTheme="minorHAnsi" w:hAnsi="FuturaTMedRo1" w:cs="Arial"/>
          <w:b/>
          <w:bCs/>
          <w:sz w:val="32"/>
          <w:szCs w:val="32"/>
          <w:lang w:val="es-ES_tradnl"/>
        </w:rPr>
        <w:t>5</w:t>
      </w:r>
      <w:r w:rsidRPr="001C7847">
        <w:rPr>
          <w:rFonts w:ascii="FuturaTMedRo1" w:eastAsiaTheme="minorHAnsi" w:hAnsi="FuturaTMedRo1" w:cs="Arial"/>
          <w:b/>
          <w:bCs/>
          <w:sz w:val="32"/>
          <w:szCs w:val="32"/>
          <w:lang w:val="es-ES_tradnl"/>
        </w:rPr>
        <w:t xml:space="preserve"> Colección Patricia Phelps de Cisneros para viajes de investigación curatorial en Centroamérica y el Caribe</w:t>
      </w:r>
    </w:p>
    <w:p w14:paraId="0565907D" w14:textId="77777777" w:rsidR="00956AF2" w:rsidRDefault="00956AF2" w:rsidP="00956AF2">
      <w:pPr>
        <w:tabs>
          <w:tab w:val="left" w:pos="1893"/>
        </w:tabs>
        <w:rPr>
          <w:rFonts w:ascii="FuturaTMedRo1" w:eastAsiaTheme="minorHAnsi" w:hAnsi="FuturaTMedRo1" w:cs="Arial"/>
          <w:b/>
          <w:bCs/>
          <w:sz w:val="32"/>
          <w:szCs w:val="32"/>
          <w:lang w:val="es-ES_tradnl"/>
        </w:rPr>
      </w:pPr>
    </w:p>
    <w:p w14:paraId="2464D1C5" w14:textId="77777777" w:rsidR="00956AF2" w:rsidRDefault="00956AF2" w:rsidP="00956AF2">
      <w:pPr>
        <w:tabs>
          <w:tab w:val="left" w:pos="1893"/>
        </w:tabs>
        <w:rPr>
          <w:rFonts w:ascii="FuturaTMedRo1" w:eastAsiaTheme="minorHAnsi" w:hAnsi="FuturaTMedRo1" w:cs="Arial"/>
          <w:b/>
          <w:bCs/>
          <w:sz w:val="32"/>
          <w:szCs w:val="32"/>
          <w:lang w:val="es-ES_tradnl"/>
        </w:rPr>
      </w:pPr>
    </w:p>
    <w:p w14:paraId="4AD03B8C" w14:textId="77777777" w:rsidR="00956AF2" w:rsidRDefault="00956AF2" w:rsidP="00956AF2">
      <w:pPr>
        <w:tabs>
          <w:tab w:val="left" w:pos="1893"/>
        </w:tabs>
        <w:jc w:val="center"/>
      </w:pPr>
      <w:r>
        <w:rPr>
          <w:rFonts w:ascii="Arial" w:hAnsi="Arial" w:cs="Arial"/>
          <w:b/>
          <w:noProof/>
          <w:sz w:val="22"/>
          <w:szCs w:val="22"/>
        </w:rPr>
        <w:drawing>
          <wp:inline distT="0" distB="0" distL="0" distR="0" wp14:anchorId="535863C5" wp14:editId="00F866AB">
            <wp:extent cx="3999885" cy="2833370"/>
            <wp:effectExtent l="0" t="0" r="0"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0537" cy="2833832"/>
                    </a:xfrm>
                    <a:prstGeom prst="rect">
                      <a:avLst/>
                    </a:prstGeom>
                    <a:noFill/>
                    <a:ln>
                      <a:noFill/>
                    </a:ln>
                  </pic:spPr>
                </pic:pic>
              </a:graphicData>
            </a:graphic>
          </wp:inline>
        </w:drawing>
      </w:r>
    </w:p>
    <w:p w14:paraId="3189408D" w14:textId="77777777" w:rsidR="00956AF2" w:rsidRPr="00DC0144" w:rsidRDefault="00956AF2" w:rsidP="00956AF2">
      <w:pPr>
        <w:ind w:left="-450"/>
        <w:jc w:val="center"/>
        <w:rPr>
          <w:rFonts w:ascii="Arial" w:hAnsi="Arial" w:cs="Arial"/>
          <w:b/>
          <w:i/>
          <w:sz w:val="22"/>
          <w:szCs w:val="22"/>
        </w:rPr>
      </w:pPr>
      <w:r>
        <w:rPr>
          <w:rFonts w:ascii="Arial" w:eastAsia="Times New Roman" w:hAnsi="Arial"/>
          <w:i/>
          <w:color w:val="222222"/>
          <w:sz w:val="19"/>
          <w:szCs w:val="19"/>
          <w:shd w:val="clear" w:color="auto" w:fill="FFFFFF"/>
        </w:rPr>
        <w:t xml:space="preserve">         View of abandoned oil facilities, Aruba (June 2014). Image: María Elena Ortiz</w:t>
      </w:r>
    </w:p>
    <w:p w14:paraId="797E4121" w14:textId="77777777" w:rsidR="00956AF2" w:rsidRDefault="00956AF2" w:rsidP="00956AF2">
      <w:pPr>
        <w:tabs>
          <w:tab w:val="left" w:pos="1893"/>
        </w:tabs>
      </w:pPr>
    </w:p>
    <w:p w14:paraId="7B957C01" w14:textId="77777777" w:rsidR="00956AF2" w:rsidRDefault="00956AF2" w:rsidP="00956AF2">
      <w:pPr>
        <w:tabs>
          <w:tab w:val="left" w:pos="1893"/>
        </w:tabs>
      </w:pPr>
    </w:p>
    <w:p w14:paraId="30C33DA8" w14:textId="77777777" w:rsidR="00956AF2" w:rsidRPr="001C7847" w:rsidRDefault="00956AF2" w:rsidP="00956AF2">
      <w:pPr>
        <w:ind w:left="-450"/>
        <w:rPr>
          <w:rFonts w:ascii="Arial" w:hAnsi="Arial" w:cs="Arial"/>
          <w:b/>
          <w:sz w:val="22"/>
          <w:szCs w:val="22"/>
          <w:lang w:val="es-ES_tradnl"/>
        </w:rPr>
      </w:pPr>
      <w:r w:rsidRPr="001C7847">
        <w:rPr>
          <w:rFonts w:ascii="Arial" w:hAnsi="Arial" w:cs="Arial"/>
          <w:b/>
          <w:sz w:val="22"/>
          <w:szCs w:val="22"/>
          <w:lang w:val="es-ES_tradnl"/>
        </w:rPr>
        <w:t>Fecha límite para aplicación: 1 de abril, 201</w:t>
      </w:r>
      <w:r>
        <w:rPr>
          <w:rFonts w:ascii="Arial" w:hAnsi="Arial" w:cs="Arial"/>
          <w:b/>
          <w:sz w:val="22"/>
          <w:szCs w:val="22"/>
          <w:lang w:val="es-ES_tradnl"/>
        </w:rPr>
        <w:t>5</w:t>
      </w:r>
    </w:p>
    <w:p w14:paraId="4D212348" w14:textId="7F7911A5" w:rsidR="00956AF2" w:rsidRPr="001C7847" w:rsidRDefault="00956AF2" w:rsidP="00956AF2">
      <w:pPr>
        <w:ind w:left="-450"/>
        <w:rPr>
          <w:rFonts w:ascii="Arial" w:hAnsi="Arial" w:cs="Arial"/>
          <w:sz w:val="22"/>
          <w:szCs w:val="22"/>
          <w:lang w:val="es-ES_tradnl"/>
        </w:rPr>
      </w:pPr>
      <w:r w:rsidRPr="001C7847">
        <w:rPr>
          <w:rFonts w:ascii="Arial" w:hAnsi="Arial" w:cs="Arial"/>
          <w:sz w:val="22"/>
          <w:szCs w:val="22"/>
          <w:lang w:val="es-ES_tradnl"/>
        </w:rPr>
        <w:br/>
        <w:t>La Colección Patricia Phelps de Cisneros (CPPC) e Independent Curators International (ICI) se complacen en anunciar la convocatoria a la B</w:t>
      </w:r>
      <w:r w:rsidR="00CF13BA">
        <w:rPr>
          <w:rFonts w:ascii="Arial" w:hAnsi="Arial" w:cs="Arial"/>
          <w:sz w:val="22"/>
          <w:szCs w:val="22"/>
          <w:lang w:val="es-ES_tradnl"/>
        </w:rPr>
        <w:t>eca 2015</w:t>
      </w:r>
      <w:r w:rsidRPr="001C7847">
        <w:rPr>
          <w:rFonts w:ascii="Arial" w:hAnsi="Arial" w:cs="Arial"/>
          <w:sz w:val="22"/>
          <w:szCs w:val="22"/>
          <w:lang w:val="es-ES_tradnl"/>
        </w:rPr>
        <w:t xml:space="preserve"> Colección Patricia Phelps de Cisneros para viajes de investigación en Centroamérica y el Caribe. En su </w:t>
      </w:r>
      <w:r w:rsidR="00CF13BA">
        <w:rPr>
          <w:rFonts w:ascii="Arial" w:hAnsi="Arial" w:cs="Arial"/>
          <w:sz w:val="22"/>
          <w:szCs w:val="22"/>
          <w:lang w:val="es-ES_tradnl"/>
        </w:rPr>
        <w:t>cuarta</w:t>
      </w:r>
      <w:r w:rsidRPr="001C7847">
        <w:rPr>
          <w:rFonts w:ascii="Arial" w:hAnsi="Arial" w:cs="Arial"/>
          <w:sz w:val="22"/>
          <w:szCs w:val="22"/>
          <w:lang w:val="es-ES_tradnl"/>
        </w:rPr>
        <w:t xml:space="preserve"> edición, esta beca de viajes apoyará a un curador radicado en cualquier parte del mundo para que viaje a Centro América y el Caribe a investigar sobre las escenas artísticas y las actividades culturales de la región. </w:t>
      </w:r>
      <w:r w:rsidRPr="001C7847">
        <w:rPr>
          <w:rFonts w:ascii="Arial" w:eastAsiaTheme="minorHAnsi" w:hAnsi="Arial" w:cs="Arial"/>
          <w:sz w:val="22"/>
          <w:szCs w:val="28"/>
          <w:lang w:val="es-ES_tradnl"/>
        </w:rPr>
        <w:t xml:space="preserve">Con la intención de generar nuevas colaboraciones con artistas, curadores, museos, y centros culturales de la región, esta beca cubre residencias curatoriales, visitas de estudio e investigación de archivo. </w:t>
      </w:r>
    </w:p>
    <w:p w14:paraId="0B53656A" w14:textId="77777777" w:rsidR="00956AF2" w:rsidRPr="001C7847" w:rsidRDefault="00956AF2" w:rsidP="00956AF2">
      <w:pPr>
        <w:ind w:left="-450"/>
        <w:rPr>
          <w:rFonts w:ascii="Arial" w:hAnsi="Arial" w:cs="Arial"/>
          <w:sz w:val="22"/>
          <w:szCs w:val="22"/>
          <w:lang w:val="es-ES_tradnl"/>
        </w:rPr>
      </w:pPr>
    </w:p>
    <w:p w14:paraId="19664856" w14:textId="1E50E2C1" w:rsidR="00956AF2" w:rsidRPr="001C7847" w:rsidRDefault="00956AF2" w:rsidP="00956AF2">
      <w:pPr>
        <w:ind w:left="-450" w:right="-630"/>
        <w:rPr>
          <w:rFonts w:ascii="Arial" w:hAnsi="Arial" w:cs="Arial"/>
          <w:sz w:val="22"/>
          <w:szCs w:val="22"/>
          <w:lang w:val="es-ES_tradnl"/>
        </w:rPr>
      </w:pPr>
      <w:r w:rsidRPr="001C7847">
        <w:rPr>
          <w:rFonts w:ascii="Arial" w:hAnsi="Arial" w:cs="Arial"/>
          <w:sz w:val="22"/>
          <w:szCs w:val="22"/>
          <w:lang w:val="es-ES_tradnl"/>
        </w:rPr>
        <w:t>La beca de viaje CPPC apoyará a que un curador visite uno o múltiples lugares en Centro América y el Caribe. El período de viaje será entre tres semanas y tres meses, y puede darse entre mayo y noviembre de 201</w:t>
      </w:r>
      <w:r w:rsidR="002A4565">
        <w:rPr>
          <w:rFonts w:ascii="Arial" w:hAnsi="Arial" w:cs="Arial"/>
          <w:sz w:val="22"/>
          <w:szCs w:val="22"/>
          <w:lang w:val="es-ES_tradnl"/>
        </w:rPr>
        <w:t>5</w:t>
      </w:r>
      <w:r w:rsidRPr="001C7847">
        <w:rPr>
          <w:rFonts w:ascii="Arial" w:hAnsi="Arial" w:cs="Arial"/>
          <w:sz w:val="22"/>
          <w:szCs w:val="22"/>
          <w:lang w:val="es-ES_tradnl"/>
        </w:rPr>
        <w:t xml:space="preserve">. La beca cubrirá gastos de hasta $10,000. </w:t>
      </w:r>
    </w:p>
    <w:p w14:paraId="03F1C0E5" w14:textId="77777777" w:rsidR="00956AF2" w:rsidRPr="001C7847" w:rsidRDefault="00956AF2" w:rsidP="00956AF2">
      <w:pPr>
        <w:ind w:left="-450" w:right="-630"/>
        <w:rPr>
          <w:rFonts w:ascii="Arial" w:hAnsi="Arial" w:cs="Arial"/>
          <w:sz w:val="22"/>
          <w:szCs w:val="22"/>
          <w:lang w:val="es-ES_tradnl"/>
        </w:rPr>
      </w:pPr>
    </w:p>
    <w:p w14:paraId="6C81C6C3" w14:textId="77777777" w:rsidR="00956AF2" w:rsidRPr="001C7847" w:rsidRDefault="00956AF2" w:rsidP="00956AF2">
      <w:pPr>
        <w:ind w:left="-450" w:right="-630"/>
        <w:rPr>
          <w:rFonts w:ascii="Arial" w:hAnsi="Arial" w:cs="Arial"/>
          <w:sz w:val="22"/>
          <w:szCs w:val="22"/>
          <w:lang w:val="es-ES_tradnl"/>
        </w:rPr>
      </w:pPr>
      <w:r w:rsidRPr="001C7847">
        <w:rPr>
          <w:rFonts w:ascii="Arial" w:hAnsi="Arial" w:cs="Arial"/>
          <w:sz w:val="22"/>
          <w:szCs w:val="22"/>
          <w:lang w:val="es-ES_tradnl"/>
        </w:rPr>
        <w:t xml:space="preserve">Los fondos pueden ser solicitados para visitar uno más de los siguientes países: Belize, Costa Rica, El Salvador, Guatemala, Honduras, Nicaragua y Panamá; y en el Caribe: Antillas Mayores </w:t>
      </w:r>
      <w:r w:rsidRPr="001C7847">
        <w:rPr>
          <w:rFonts w:ascii="Arial" w:eastAsiaTheme="minorHAnsi" w:hAnsi="Arial" w:cs="Arial"/>
          <w:sz w:val="22"/>
          <w:szCs w:val="28"/>
          <w:lang w:val="es-ES_tradnl"/>
        </w:rPr>
        <w:t>(Cuba, Haití, República Dominicana, Jamaica, Puerto Rico e Islas Caimán)</w:t>
      </w:r>
      <w:r w:rsidRPr="001C7847">
        <w:rPr>
          <w:rFonts w:ascii="Arial" w:hAnsi="Arial" w:cs="Arial"/>
          <w:sz w:val="22"/>
          <w:szCs w:val="22"/>
          <w:lang w:val="es-ES_tradnl"/>
        </w:rPr>
        <w:t xml:space="preserve">, Antillas Menores </w:t>
      </w:r>
      <w:r w:rsidRPr="001C7847">
        <w:rPr>
          <w:rFonts w:ascii="Arial" w:eastAsiaTheme="minorHAnsi" w:hAnsi="Arial" w:cs="Arial"/>
          <w:sz w:val="22"/>
          <w:szCs w:val="28"/>
          <w:lang w:val="es-ES_tradnl"/>
        </w:rPr>
        <w:t xml:space="preserve">(Antigua y Barbuda, Barbados, Dominica, Granada, San Cristóbal y Nieves, San Vicente y las Granadinas, Santa Lucía, Trinidad y Tobago, Islas Vírgenes de Estados Unidos, Antillas Francesas—Guadalupe, Martinica, La Désirade, María Galante, Les Saintes, San Martín, San </w:t>
      </w:r>
      <w:r w:rsidRPr="001C7847">
        <w:rPr>
          <w:rFonts w:ascii="Arial" w:eastAsiaTheme="minorHAnsi" w:hAnsi="Arial" w:cs="Arial"/>
          <w:sz w:val="22"/>
          <w:szCs w:val="28"/>
          <w:lang w:val="es-ES_tradnl"/>
        </w:rPr>
        <w:lastRenderedPageBreak/>
        <w:t>Bartolomé-, Islas Neerlandesas - Aruba, Bonaire, Curazao, Saba, San Eustaquio, Sa</w:t>
      </w:r>
      <w:r>
        <w:rPr>
          <w:rFonts w:ascii="Arial" w:eastAsiaTheme="minorHAnsi" w:hAnsi="Arial" w:cs="Arial"/>
          <w:sz w:val="22"/>
          <w:szCs w:val="28"/>
          <w:lang w:val="es-ES_tradnl"/>
        </w:rPr>
        <w:t>n M</w:t>
      </w:r>
      <w:r w:rsidRPr="001C7847">
        <w:rPr>
          <w:rFonts w:ascii="Arial" w:eastAsiaTheme="minorHAnsi" w:hAnsi="Arial" w:cs="Arial"/>
          <w:sz w:val="22"/>
          <w:szCs w:val="28"/>
          <w:lang w:val="es-ES_tradnl"/>
        </w:rPr>
        <w:t>arten, Islas Vírgenes Británicas- Anguila, Monserrat, Islas Venezolanas)</w:t>
      </w:r>
      <w:r w:rsidRPr="001C7847">
        <w:rPr>
          <w:rFonts w:ascii="Arial" w:hAnsi="Arial" w:cs="Arial"/>
          <w:sz w:val="22"/>
          <w:szCs w:val="22"/>
          <w:lang w:val="es-ES_tradnl"/>
        </w:rPr>
        <w:t>, Bahamas, Colombia (región caribe), e Islas Turcos y Caicos.</w:t>
      </w:r>
      <w:r w:rsidRPr="001C7847">
        <w:rPr>
          <w:rFonts w:ascii="Arial" w:hAnsi="Arial" w:cs="Arial"/>
          <w:sz w:val="22"/>
          <w:szCs w:val="22"/>
          <w:lang w:val="es-ES_tradnl"/>
        </w:rPr>
        <w:br/>
      </w:r>
    </w:p>
    <w:p w14:paraId="49B3222C" w14:textId="77777777" w:rsidR="00956AF2" w:rsidRPr="001C7847" w:rsidRDefault="00956AF2" w:rsidP="00956AF2">
      <w:pPr>
        <w:ind w:left="-450" w:right="-630"/>
        <w:rPr>
          <w:rFonts w:ascii="Arial" w:hAnsi="Arial" w:cs="Arial"/>
          <w:sz w:val="22"/>
          <w:szCs w:val="22"/>
          <w:lang w:val="es-ES_tradnl"/>
        </w:rPr>
      </w:pPr>
      <w:r w:rsidRPr="001C7847">
        <w:rPr>
          <w:rFonts w:ascii="Arial" w:hAnsi="Arial" w:cs="Arial"/>
          <w:sz w:val="22"/>
          <w:szCs w:val="22"/>
          <w:lang w:val="es-ES_tradnl"/>
        </w:rPr>
        <w:t>Curadores independientes y aquellos con</w:t>
      </w:r>
      <w:r w:rsidRPr="001C7847">
        <w:rPr>
          <w:rFonts w:ascii="Arial" w:eastAsiaTheme="minorHAnsi" w:hAnsi="Arial" w:cs="Arial"/>
          <w:sz w:val="22"/>
          <w:szCs w:val="28"/>
          <w:lang w:val="es-ES_tradnl"/>
        </w:rPr>
        <w:t xml:space="preserve"> afiliación institucional pueden aplicar. Se considerarán Aplicaciones de curadores establecidos y emergentes (3+ años de experiencia profesional).</w:t>
      </w:r>
    </w:p>
    <w:p w14:paraId="7832CB39" w14:textId="77777777" w:rsidR="00956AF2" w:rsidRPr="001C7847" w:rsidRDefault="00956AF2" w:rsidP="00956AF2">
      <w:pPr>
        <w:ind w:left="-450" w:right="-630"/>
        <w:rPr>
          <w:rFonts w:ascii="Arial" w:hAnsi="Arial" w:cs="Arial"/>
          <w:sz w:val="22"/>
          <w:szCs w:val="22"/>
          <w:u w:val="single"/>
          <w:lang w:val="es-ES_tradnl"/>
        </w:rPr>
      </w:pPr>
      <w:r w:rsidRPr="001C7847">
        <w:rPr>
          <w:rFonts w:ascii="Arial" w:hAnsi="Arial" w:cs="Arial"/>
          <w:sz w:val="22"/>
          <w:szCs w:val="22"/>
          <w:lang w:val="es-ES_tradnl"/>
        </w:rPr>
        <w:br/>
      </w:r>
      <w:r w:rsidRPr="001C7847">
        <w:rPr>
          <w:rFonts w:ascii="Arial" w:hAnsi="Arial" w:cs="Arial"/>
          <w:sz w:val="22"/>
          <w:szCs w:val="22"/>
          <w:u w:val="single"/>
          <w:lang w:val="es-ES_tradnl"/>
        </w:rPr>
        <w:t>Lineamientos para la aplicación</w:t>
      </w:r>
    </w:p>
    <w:p w14:paraId="4FAB305C" w14:textId="77777777" w:rsidR="00956AF2" w:rsidRPr="001C7847" w:rsidRDefault="00956AF2" w:rsidP="00956AF2">
      <w:pPr>
        <w:ind w:left="-450" w:right="-630"/>
        <w:rPr>
          <w:rFonts w:ascii="Arial" w:hAnsi="Arial" w:cs="Arial"/>
          <w:sz w:val="22"/>
          <w:szCs w:val="22"/>
          <w:u w:val="single"/>
          <w:lang w:val="es-ES_tradnl"/>
        </w:rPr>
      </w:pPr>
    </w:p>
    <w:p w14:paraId="756B0D90" w14:textId="77777777" w:rsidR="00956AF2" w:rsidRPr="001C7847" w:rsidRDefault="00956AF2" w:rsidP="00956AF2">
      <w:pPr>
        <w:ind w:left="-450" w:right="-630"/>
        <w:rPr>
          <w:rFonts w:ascii="Arial" w:eastAsiaTheme="minorHAnsi" w:hAnsi="Arial" w:cs="Arial"/>
          <w:sz w:val="22"/>
          <w:szCs w:val="28"/>
          <w:lang w:val="es-ES_tradnl"/>
        </w:rPr>
      </w:pPr>
      <w:r w:rsidRPr="001C7847">
        <w:rPr>
          <w:rFonts w:ascii="Arial" w:eastAsiaTheme="minorHAnsi" w:hAnsi="Arial" w:cs="Arial"/>
          <w:sz w:val="22"/>
          <w:szCs w:val="28"/>
          <w:lang w:val="es-ES_tradnl"/>
        </w:rPr>
        <w:t>Para ser considerado para la beca, se deberá enviar lo siguiente:</w:t>
      </w:r>
    </w:p>
    <w:p w14:paraId="26F44CD8" w14:textId="77777777" w:rsidR="00956AF2" w:rsidRPr="001C7847" w:rsidRDefault="00956AF2" w:rsidP="00956AF2">
      <w:pPr>
        <w:ind w:left="-450" w:right="-630"/>
        <w:rPr>
          <w:rFonts w:ascii="Arial" w:hAnsi="Arial" w:cs="Arial"/>
          <w:sz w:val="22"/>
          <w:szCs w:val="22"/>
          <w:u w:val="single"/>
          <w:lang w:val="es-ES_tradnl"/>
        </w:rPr>
      </w:pPr>
    </w:p>
    <w:p w14:paraId="0534B3F1" w14:textId="77777777" w:rsidR="00956AF2" w:rsidRPr="001C7847" w:rsidRDefault="00956AF2" w:rsidP="00956AF2">
      <w:pPr>
        <w:pStyle w:val="ListParagraph"/>
        <w:numPr>
          <w:ilvl w:val="0"/>
          <w:numId w:val="1"/>
        </w:numPr>
        <w:rPr>
          <w:rFonts w:ascii="Arial" w:eastAsiaTheme="minorHAnsi" w:hAnsi="Arial" w:cs="Arial"/>
          <w:sz w:val="22"/>
          <w:szCs w:val="28"/>
          <w:lang w:val="es-ES_tradnl"/>
        </w:rPr>
      </w:pPr>
      <w:r w:rsidRPr="001C7847">
        <w:rPr>
          <w:rFonts w:ascii="Arial" w:eastAsiaTheme="minorHAnsi" w:hAnsi="Arial" w:cs="Arial"/>
          <w:sz w:val="22"/>
          <w:szCs w:val="28"/>
          <w:lang w:val="es-ES_tradnl"/>
        </w:rPr>
        <w:t>Una carta de aproximadamente 1.500 palabras (3 páginas) que describa la propuesta curatorial para la cual se solicita el apoyo. Deberá exponer brevemente las razones que sustentan la importancia de la investigación y la pertinencia de que suceda en el momento propuesto. De igual forma, deberá contener nombres de artistas, curadores, colecciones, archivos o instituciones con las que el solicitante buscará colaborar.</w:t>
      </w:r>
    </w:p>
    <w:p w14:paraId="51E7E43D" w14:textId="77777777" w:rsidR="00956AF2" w:rsidRPr="001C7847" w:rsidRDefault="00956AF2" w:rsidP="00956AF2">
      <w:pPr>
        <w:pStyle w:val="ListParagraph"/>
        <w:numPr>
          <w:ilvl w:val="0"/>
          <w:numId w:val="1"/>
        </w:numPr>
        <w:rPr>
          <w:rFonts w:ascii="Arial" w:eastAsiaTheme="minorHAnsi" w:hAnsi="Arial" w:cs="Arial"/>
          <w:sz w:val="22"/>
          <w:szCs w:val="28"/>
          <w:lang w:val="es-ES_tradnl"/>
        </w:rPr>
      </w:pPr>
      <w:r w:rsidRPr="001C7847">
        <w:rPr>
          <w:rFonts w:ascii="Arial" w:eastAsiaTheme="minorHAnsi" w:hAnsi="Arial" w:cs="Arial"/>
          <w:sz w:val="22"/>
          <w:szCs w:val="28"/>
          <w:lang w:val="es-ES_tradnl"/>
        </w:rPr>
        <w:t>Un itinerario de viaje o programa de trabajo durante la estancia con fechas de viaje (una página).</w:t>
      </w:r>
    </w:p>
    <w:p w14:paraId="482BE122" w14:textId="77777777" w:rsidR="00956AF2" w:rsidRPr="001C7847" w:rsidRDefault="00956AF2" w:rsidP="00956AF2">
      <w:pPr>
        <w:pStyle w:val="ListParagraph"/>
        <w:numPr>
          <w:ilvl w:val="0"/>
          <w:numId w:val="1"/>
        </w:numPr>
        <w:rPr>
          <w:rFonts w:ascii="Arial" w:eastAsiaTheme="minorHAnsi" w:hAnsi="Arial" w:cs="Arial"/>
          <w:sz w:val="22"/>
          <w:szCs w:val="28"/>
          <w:lang w:val="es-ES_tradnl"/>
        </w:rPr>
      </w:pPr>
      <w:r w:rsidRPr="001C7847">
        <w:rPr>
          <w:rFonts w:ascii="Arial" w:eastAsiaTheme="minorHAnsi" w:hAnsi="Arial" w:cs="Arial"/>
          <w:sz w:val="22"/>
          <w:szCs w:val="28"/>
          <w:lang w:val="es-ES_tradnl"/>
        </w:rPr>
        <w:t>Presupuesto que cubra en su totalidad los costos relacionados con el viaje de investigación incluyendo viáticos, honorarios, y gastos de traducción (una página).</w:t>
      </w:r>
    </w:p>
    <w:p w14:paraId="5668C18C" w14:textId="77777777" w:rsidR="00956AF2" w:rsidRPr="001C7847" w:rsidRDefault="00956AF2" w:rsidP="00956AF2">
      <w:pPr>
        <w:pStyle w:val="ListParagraph"/>
        <w:numPr>
          <w:ilvl w:val="0"/>
          <w:numId w:val="1"/>
        </w:numPr>
        <w:rPr>
          <w:rFonts w:ascii="Arial" w:eastAsiaTheme="minorHAnsi" w:hAnsi="Arial" w:cs="Arial"/>
          <w:sz w:val="22"/>
          <w:szCs w:val="28"/>
          <w:lang w:val="es-ES_tradnl"/>
        </w:rPr>
      </w:pPr>
      <w:r w:rsidRPr="001C7847">
        <w:rPr>
          <w:rFonts w:ascii="Arial" w:eastAsiaTheme="minorHAnsi" w:hAnsi="Arial" w:cs="Arial"/>
          <w:sz w:val="22"/>
          <w:szCs w:val="28"/>
          <w:lang w:val="es-ES_tradnl"/>
        </w:rPr>
        <w:t>Curriculum Vitae (máximo 3 páginas).</w:t>
      </w:r>
    </w:p>
    <w:p w14:paraId="0BD5FCCB" w14:textId="77777777" w:rsidR="00956AF2" w:rsidRPr="001C7847" w:rsidRDefault="00956AF2" w:rsidP="00956AF2">
      <w:pPr>
        <w:ind w:left="-90"/>
        <w:rPr>
          <w:rFonts w:ascii="Arial" w:eastAsiaTheme="minorHAnsi" w:hAnsi="Arial" w:cs="Arial"/>
          <w:sz w:val="22"/>
          <w:szCs w:val="28"/>
          <w:lang w:val="es-ES_tradnl"/>
        </w:rPr>
      </w:pPr>
    </w:p>
    <w:p w14:paraId="2B4F9E8F" w14:textId="77777777" w:rsidR="00956AF2" w:rsidRPr="001C7847" w:rsidRDefault="00956AF2" w:rsidP="00956AF2">
      <w:pPr>
        <w:ind w:left="-450"/>
        <w:rPr>
          <w:rFonts w:ascii="Arial" w:eastAsiaTheme="minorHAnsi" w:hAnsi="Arial" w:cs="Arial"/>
          <w:sz w:val="22"/>
          <w:szCs w:val="28"/>
          <w:lang w:val="es-ES_tradnl"/>
        </w:rPr>
      </w:pPr>
      <w:r w:rsidRPr="001C7847">
        <w:rPr>
          <w:rFonts w:ascii="Arial" w:eastAsiaTheme="minorHAnsi" w:hAnsi="Arial" w:cs="Arial"/>
          <w:sz w:val="22"/>
          <w:szCs w:val="28"/>
          <w:lang w:val="es-ES_tradnl"/>
        </w:rPr>
        <w:t xml:space="preserve">Formato de entrega: Los documentos requeridos deberán ser enviados por correo electrónico a </w:t>
      </w:r>
      <w:hyperlink r:id="rId7" w:history="1">
        <w:r w:rsidRPr="001C7847">
          <w:rPr>
            <w:rStyle w:val="Hyperlink"/>
            <w:rFonts w:ascii="Arial" w:eastAsiaTheme="minorHAnsi" w:hAnsi="Arial" w:cs="Arial"/>
            <w:sz w:val="22"/>
            <w:szCs w:val="28"/>
            <w:lang w:val="es-ES_tradnl"/>
          </w:rPr>
          <w:t>research@curatorsintl.org</w:t>
        </w:r>
      </w:hyperlink>
      <w:r w:rsidRPr="001C7847">
        <w:rPr>
          <w:rFonts w:ascii="Arial" w:eastAsiaTheme="minorHAnsi" w:hAnsi="Arial" w:cs="Arial"/>
          <w:sz w:val="22"/>
          <w:szCs w:val="28"/>
          <w:lang w:val="es-ES_tradnl"/>
        </w:rPr>
        <w:t xml:space="preserve">, con asunto </w:t>
      </w:r>
      <w:r w:rsidRPr="001C7847">
        <w:rPr>
          <w:rFonts w:ascii="Arial" w:eastAsiaTheme="minorHAnsi" w:hAnsi="Arial" w:cs="Arial"/>
          <w:b/>
          <w:sz w:val="22"/>
          <w:szCs w:val="28"/>
          <w:lang w:val="es-ES_tradnl"/>
        </w:rPr>
        <w:t>Beca de viaje</w:t>
      </w:r>
      <w:r w:rsidRPr="001C7847">
        <w:rPr>
          <w:rFonts w:ascii="Arial" w:eastAsiaTheme="minorHAnsi" w:hAnsi="Arial" w:cs="Arial"/>
          <w:sz w:val="22"/>
          <w:szCs w:val="28"/>
          <w:lang w:val="es-ES_tradnl"/>
        </w:rPr>
        <w:t>. No se recibirán versiones impresas enviadas por correo postal. La carta, itinerario de viaje, presupuesto y CV deberán ser enviados como un solo PDF con páginas numeradas.</w:t>
      </w:r>
    </w:p>
    <w:p w14:paraId="2882B13D" w14:textId="77777777" w:rsidR="00956AF2" w:rsidRPr="001C7847" w:rsidRDefault="00956AF2" w:rsidP="00956AF2">
      <w:pPr>
        <w:ind w:left="-450"/>
        <w:rPr>
          <w:rFonts w:ascii="Arial" w:eastAsiaTheme="minorHAnsi" w:hAnsi="Arial" w:cs="Arial"/>
          <w:sz w:val="22"/>
          <w:szCs w:val="28"/>
          <w:lang w:val="es-ES_tradnl"/>
        </w:rPr>
      </w:pPr>
    </w:p>
    <w:p w14:paraId="38D62A1B" w14:textId="77777777" w:rsidR="00956AF2" w:rsidRPr="001C7847" w:rsidRDefault="00956AF2" w:rsidP="00956AF2">
      <w:pPr>
        <w:ind w:left="-450"/>
        <w:rPr>
          <w:rFonts w:ascii="Arial" w:eastAsiaTheme="minorHAnsi" w:hAnsi="Arial" w:cs="Arial"/>
          <w:sz w:val="22"/>
          <w:szCs w:val="28"/>
          <w:lang w:val="es-ES_tradnl"/>
        </w:rPr>
      </w:pPr>
      <w:r w:rsidRPr="001C7847">
        <w:rPr>
          <w:rFonts w:ascii="Arial" w:eastAsiaTheme="minorHAnsi" w:hAnsi="Arial" w:cs="Arial"/>
          <w:sz w:val="22"/>
          <w:szCs w:val="28"/>
          <w:lang w:val="es-ES_tradnl"/>
        </w:rPr>
        <w:t xml:space="preserve">Idioma: Las solicitudes podrán ser enviadas en inglés o español. </w:t>
      </w:r>
    </w:p>
    <w:p w14:paraId="0B1A2973" w14:textId="77777777" w:rsidR="00956AF2" w:rsidRPr="001C7847" w:rsidRDefault="00956AF2" w:rsidP="00956AF2">
      <w:pPr>
        <w:ind w:left="-450"/>
        <w:rPr>
          <w:rFonts w:ascii="Arial" w:eastAsiaTheme="minorHAnsi" w:hAnsi="Arial" w:cs="Arial"/>
          <w:sz w:val="22"/>
          <w:szCs w:val="28"/>
          <w:lang w:val="es-ES_tradnl"/>
        </w:rPr>
      </w:pPr>
    </w:p>
    <w:p w14:paraId="05B4D9E0" w14:textId="77777777" w:rsidR="00956AF2" w:rsidRPr="001C7847" w:rsidRDefault="00956AF2" w:rsidP="00956AF2">
      <w:pPr>
        <w:ind w:left="-450" w:right="-630"/>
        <w:rPr>
          <w:rFonts w:ascii="Arial" w:hAnsi="Arial" w:cs="Arial"/>
          <w:sz w:val="22"/>
          <w:szCs w:val="22"/>
          <w:lang w:val="es-ES_tradnl"/>
        </w:rPr>
      </w:pPr>
      <w:r w:rsidRPr="001C7847">
        <w:rPr>
          <w:rFonts w:ascii="Arial" w:hAnsi="Arial" w:cs="Arial"/>
          <w:sz w:val="22"/>
          <w:szCs w:val="22"/>
          <w:lang w:val="es-ES_tradnl"/>
        </w:rPr>
        <w:t xml:space="preserve">Un jurado de profesionales que viven en la región, o que tienen extenso conocimiento de la misma seleccionarán al ganador. </w:t>
      </w:r>
    </w:p>
    <w:p w14:paraId="06172997" w14:textId="77777777" w:rsidR="00956AF2" w:rsidRPr="001C7847" w:rsidRDefault="00956AF2" w:rsidP="00956AF2">
      <w:pPr>
        <w:ind w:left="-450" w:right="-630"/>
        <w:rPr>
          <w:rFonts w:ascii="Arial" w:hAnsi="Arial" w:cs="Arial"/>
          <w:sz w:val="22"/>
          <w:szCs w:val="22"/>
          <w:lang w:val="es-ES_tradnl"/>
        </w:rPr>
      </w:pPr>
    </w:p>
    <w:p w14:paraId="41A336B5" w14:textId="77777777" w:rsidR="00956AF2" w:rsidRPr="001C7847" w:rsidRDefault="00956AF2" w:rsidP="00956AF2">
      <w:pPr>
        <w:ind w:left="-450" w:right="-630"/>
        <w:rPr>
          <w:rFonts w:ascii="Arial" w:hAnsi="Arial" w:cs="Arial"/>
          <w:sz w:val="22"/>
          <w:szCs w:val="22"/>
          <w:lang w:val="es-ES_tradnl"/>
        </w:rPr>
      </w:pPr>
      <w:r w:rsidRPr="001C7847">
        <w:rPr>
          <w:rFonts w:ascii="Arial" w:hAnsi="Arial" w:cs="Arial"/>
          <w:sz w:val="22"/>
          <w:szCs w:val="22"/>
          <w:lang w:val="es-ES_tradnl"/>
        </w:rPr>
        <w:t>Los beneficiarios serán responsables de los detalles y disposiciones del viaje, incluyendo el trámite de visas, de ser necesario. En caso de no hablar el idioma local, deberá contemplarse en el presupuesto el monto correspondiente a servicios de traducción. Al completar el viaje, los beneficiarios deberán entregar un reporte de aproximadamente 1.500 palabras sobre los resultados de la investigación, junto con la comprobación de los gastos realizados. De igual forma, se espera que los seleccionados envíen imágenes fotográficas e información sobre las actividades de la región que contribuyan a expandir los recursos que ofrece la plataforma en línea en el sitio web de ICI.</w:t>
      </w:r>
    </w:p>
    <w:p w14:paraId="2D76A814" w14:textId="77777777" w:rsidR="00956AF2" w:rsidRPr="001C7847" w:rsidRDefault="00956AF2" w:rsidP="00956AF2">
      <w:pPr>
        <w:ind w:left="-450" w:right="-630"/>
        <w:rPr>
          <w:rFonts w:ascii="Arial" w:hAnsi="Arial" w:cs="Arial"/>
          <w:sz w:val="22"/>
          <w:szCs w:val="22"/>
          <w:lang w:val="es-ES_tradnl"/>
        </w:rPr>
      </w:pPr>
    </w:p>
    <w:p w14:paraId="3C1AD771" w14:textId="77777777" w:rsidR="00956AF2" w:rsidRPr="001C7847" w:rsidRDefault="00956AF2" w:rsidP="00956AF2">
      <w:pPr>
        <w:ind w:left="-450" w:right="-630"/>
        <w:rPr>
          <w:rFonts w:ascii="Arial" w:hAnsi="Arial" w:cs="Arial"/>
          <w:sz w:val="22"/>
          <w:szCs w:val="22"/>
          <w:lang w:val="es-ES_tradnl"/>
        </w:rPr>
      </w:pPr>
      <w:r w:rsidRPr="001C7847">
        <w:rPr>
          <w:rFonts w:ascii="Arial" w:hAnsi="Arial" w:cs="Arial"/>
          <w:sz w:val="22"/>
          <w:szCs w:val="22"/>
          <w:lang w:val="es-ES_tradnl"/>
        </w:rPr>
        <w:t xml:space="preserve">Para más información o para enviar preguntas, visite </w:t>
      </w:r>
      <w:hyperlink r:id="rId8" w:history="1">
        <w:r w:rsidRPr="001C7847">
          <w:rPr>
            <w:rStyle w:val="Hyperlink"/>
            <w:rFonts w:ascii="Arial" w:hAnsi="Arial" w:cs="Arial"/>
            <w:sz w:val="22"/>
            <w:szCs w:val="22"/>
            <w:lang w:val="es-ES_tradnl"/>
          </w:rPr>
          <w:t>www.curatorsintl.org/journal</w:t>
        </w:r>
      </w:hyperlink>
      <w:r w:rsidRPr="001C7847">
        <w:rPr>
          <w:rFonts w:ascii="Arial" w:hAnsi="Arial" w:cs="Arial"/>
          <w:sz w:val="22"/>
          <w:szCs w:val="22"/>
          <w:lang w:val="es-ES_tradnl"/>
        </w:rPr>
        <w:t xml:space="preserve"> o </w:t>
      </w:r>
      <w:r>
        <w:rPr>
          <w:rFonts w:ascii="Arial" w:hAnsi="Arial" w:cs="Arial"/>
          <w:sz w:val="22"/>
          <w:szCs w:val="22"/>
          <w:lang w:val="es-ES_tradnl"/>
        </w:rPr>
        <w:t xml:space="preserve">por correo a </w:t>
      </w:r>
      <w:hyperlink r:id="rId9" w:history="1">
        <w:r w:rsidRPr="00513A34">
          <w:rPr>
            <w:rStyle w:val="Hyperlink"/>
            <w:rFonts w:ascii="Arial" w:hAnsi="Arial" w:cs="Arial"/>
            <w:sz w:val="22"/>
            <w:szCs w:val="22"/>
            <w:lang w:val="es-ES_tradnl"/>
          </w:rPr>
          <w:t>research@curatorsintl.org</w:t>
        </w:r>
      </w:hyperlink>
      <w:r w:rsidRPr="001C7847">
        <w:rPr>
          <w:rFonts w:ascii="Arial" w:hAnsi="Arial" w:cs="Arial"/>
          <w:sz w:val="22"/>
          <w:szCs w:val="22"/>
          <w:lang w:val="es-ES_tradnl"/>
        </w:rPr>
        <w:t xml:space="preserve">. </w:t>
      </w:r>
      <w:r w:rsidRPr="001C7847">
        <w:rPr>
          <w:rFonts w:ascii="Arial" w:hAnsi="Arial" w:cs="Arial"/>
          <w:sz w:val="22"/>
          <w:szCs w:val="22"/>
          <w:lang w:val="es-ES_tradnl"/>
        </w:rPr>
        <w:br/>
      </w:r>
    </w:p>
    <w:p w14:paraId="6CC7CB29" w14:textId="77777777" w:rsidR="00956AF2" w:rsidRPr="001C7847" w:rsidRDefault="00956AF2" w:rsidP="00956AF2">
      <w:pPr>
        <w:ind w:left="-450"/>
        <w:rPr>
          <w:rFonts w:ascii="Arial" w:eastAsiaTheme="minorHAnsi" w:hAnsi="Arial" w:cs="Arial"/>
          <w:sz w:val="22"/>
          <w:szCs w:val="28"/>
          <w:lang w:val="es-ES_tradnl"/>
        </w:rPr>
      </w:pPr>
      <w:r w:rsidRPr="001C7847">
        <w:rPr>
          <w:rFonts w:ascii="Arial" w:eastAsiaTheme="minorHAnsi" w:hAnsi="Arial" w:cs="Arial"/>
          <w:sz w:val="22"/>
          <w:szCs w:val="28"/>
          <w:lang w:val="es-ES_tradnl"/>
        </w:rPr>
        <w:t>----</w:t>
      </w:r>
    </w:p>
    <w:p w14:paraId="47C9DE2D" w14:textId="77777777" w:rsidR="00956AF2" w:rsidRPr="001C7847" w:rsidRDefault="00956AF2" w:rsidP="00956AF2">
      <w:pPr>
        <w:ind w:left="-450"/>
        <w:rPr>
          <w:rFonts w:ascii="Arial" w:eastAsiaTheme="minorHAnsi" w:hAnsi="Arial" w:cs="Arial"/>
          <w:sz w:val="22"/>
          <w:szCs w:val="28"/>
          <w:lang w:val="es-ES_tradnl"/>
        </w:rPr>
      </w:pPr>
    </w:p>
    <w:p w14:paraId="1AC363FB" w14:textId="224ED7C8" w:rsidR="002A3A42" w:rsidRPr="002A3A42" w:rsidRDefault="00956AF2" w:rsidP="002A3A42">
      <w:pPr>
        <w:ind w:left="-450"/>
        <w:rPr>
          <w:rFonts w:ascii="Arial" w:eastAsia="MS Mincho" w:hAnsi="Arial"/>
          <w:sz w:val="22"/>
          <w:szCs w:val="18"/>
          <w:shd w:val="clear" w:color="auto" w:fill="FFFFFF"/>
        </w:rPr>
      </w:pPr>
      <w:r>
        <w:rPr>
          <w:rFonts w:ascii="Arial" w:hAnsi="Arial" w:cs="Arial"/>
          <w:sz w:val="22"/>
          <w:szCs w:val="22"/>
          <w:lang w:val="es-ES_tradnl"/>
        </w:rPr>
        <w:t>La primera B</w:t>
      </w:r>
      <w:r w:rsidRPr="001C7847">
        <w:rPr>
          <w:rFonts w:ascii="Arial" w:hAnsi="Arial" w:cs="Arial"/>
          <w:sz w:val="22"/>
          <w:szCs w:val="22"/>
          <w:lang w:val="es-ES_tradnl"/>
        </w:rPr>
        <w:t xml:space="preserve">eca CPPC de viaje e investigación fue otorgada en 2012 a Pablo León de la Barra, quien </w:t>
      </w:r>
      <w:r>
        <w:rPr>
          <w:rFonts w:ascii="Arial" w:hAnsi="Arial" w:cs="Arial"/>
          <w:sz w:val="22"/>
          <w:szCs w:val="22"/>
          <w:lang w:val="es-ES_tradnl"/>
        </w:rPr>
        <w:t>realizó viajes a</w:t>
      </w:r>
      <w:r w:rsidRPr="001C7847">
        <w:rPr>
          <w:rFonts w:ascii="Arial" w:hAnsi="Arial" w:cs="Arial"/>
          <w:sz w:val="22"/>
          <w:szCs w:val="22"/>
          <w:lang w:val="es-ES_tradnl"/>
        </w:rPr>
        <w:t xml:space="preserve"> República Dominicana, Nicaragua, Panamá y Puerto Rico con el afán de releer momentos históricos fundacionales de la región, que han ganado relevancia en la actual realidad económica y política. El ganador de la beca 2013, Remco de Blaaij, se propuso investigar prácticas </w:t>
      </w:r>
      <w:r>
        <w:rPr>
          <w:rFonts w:ascii="Arial" w:hAnsi="Arial" w:cs="Arial"/>
          <w:sz w:val="22"/>
          <w:szCs w:val="22"/>
          <w:lang w:val="es-ES_tradnl"/>
        </w:rPr>
        <w:t>de activismo</w:t>
      </w:r>
      <w:r w:rsidRPr="001C7847">
        <w:rPr>
          <w:rFonts w:ascii="Arial" w:hAnsi="Arial" w:cs="Arial"/>
          <w:sz w:val="22"/>
          <w:szCs w:val="22"/>
          <w:lang w:val="es-ES_tradnl"/>
        </w:rPr>
        <w:t xml:space="preserve"> feministas en Guatemala, Jamaica, Nicaragua y Suriname. </w:t>
      </w:r>
      <w:r w:rsidR="002A3A42">
        <w:rPr>
          <w:rFonts w:ascii="Arial" w:hAnsi="Arial" w:cs="Arial"/>
          <w:sz w:val="22"/>
          <w:szCs w:val="22"/>
          <w:lang w:val="es-ES_tradnl"/>
        </w:rPr>
        <w:t>La ganadora de la beca en 2014</w:t>
      </w:r>
      <w:r w:rsidR="002A3A42">
        <w:rPr>
          <w:rFonts w:ascii="Arial" w:eastAsia="MS Mincho" w:hAnsi="Arial"/>
          <w:sz w:val="22"/>
          <w:szCs w:val="18"/>
          <w:shd w:val="clear" w:color="auto" w:fill="FFFFFF"/>
        </w:rPr>
        <w:t>, María Elena Ortiz, examinó prácticas de</w:t>
      </w:r>
      <w:r w:rsidR="004E40F9">
        <w:rPr>
          <w:rFonts w:ascii="Arial" w:eastAsia="MS Mincho" w:hAnsi="Arial"/>
          <w:sz w:val="22"/>
          <w:szCs w:val="18"/>
          <w:shd w:val="clear" w:color="auto" w:fill="FFFFFF"/>
        </w:rPr>
        <w:t xml:space="preserve"> video y </w:t>
      </w:r>
      <w:r w:rsidR="002A3A42">
        <w:rPr>
          <w:rFonts w:ascii="Arial" w:eastAsia="MS Mincho" w:hAnsi="Arial"/>
          <w:sz w:val="22"/>
          <w:szCs w:val="18"/>
          <w:shd w:val="clear" w:color="auto" w:fill="FFFFFF"/>
        </w:rPr>
        <w:t>film</w:t>
      </w:r>
      <w:r w:rsidR="004E40F9">
        <w:rPr>
          <w:rFonts w:ascii="Arial" w:eastAsia="MS Mincho" w:hAnsi="Arial"/>
          <w:sz w:val="22"/>
          <w:szCs w:val="18"/>
          <w:shd w:val="clear" w:color="auto" w:fill="FFFFFF"/>
        </w:rPr>
        <w:t xml:space="preserve"> en Aruba, Martinique, las Bahamas y Trinidad y Tobago.</w:t>
      </w:r>
      <w:bookmarkStart w:id="1" w:name="_GoBack"/>
      <w:bookmarkEnd w:id="1"/>
    </w:p>
    <w:p w14:paraId="64AB6C23" w14:textId="77777777" w:rsidR="00956AF2" w:rsidRPr="001C7847" w:rsidRDefault="00956AF2" w:rsidP="00956AF2">
      <w:pPr>
        <w:ind w:left="-450" w:right="-630"/>
        <w:rPr>
          <w:rFonts w:ascii="Arial" w:eastAsia="MS Mincho" w:hAnsi="Arial"/>
          <w:sz w:val="22"/>
          <w:szCs w:val="18"/>
          <w:shd w:val="clear" w:color="auto" w:fill="FFFFFF"/>
          <w:lang w:val="es-ES_tradnl"/>
        </w:rPr>
      </w:pPr>
    </w:p>
    <w:p w14:paraId="1F607812" w14:textId="77777777" w:rsidR="00956AF2" w:rsidRPr="001C7847" w:rsidRDefault="00956AF2" w:rsidP="00956AF2">
      <w:pPr>
        <w:ind w:left="-450" w:right="-630"/>
        <w:rPr>
          <w:rFonts w:ascii="Arial" w:hAnsi="Arial" w:cs="Arial"/>
          <w:sz w:val="22"/>
          <w:szCs w:val="22"/>
          <w:lang w:val="es-ES_tradnl"/>
        </w:rPr>
      </w:pPr>
      <w:r w:rsidRPr="001C7847">
        <w:rPr>
          <w:rFonts w:ascii="Arial" w:hAnsi="Arial" w:cs="Arial"/>
          <w:b/>
          <w:sz w:val="22"/>
          <w:szCs w:val="22"/>
          <w:lang w:val="es-ES_tradnl"/>
        </w:rPr>
        <w:t>Acerca de la Colección Patricia Phelps de Cisneros</w:t>
      </w:r>
      <w:r w:rsidRPr="001C7847">
        <w:rPr>
          <w:rFonts w:ascii="Arial" w:hAnsi="Arial" w:cs="Arial"/>
          <w:b/>
          <w:sz w:val="22"/>
          <w:szCs w:val="22"/>
          <w:lang w:val="es-ES_tradnl"/>
        </w:rPr>
        <w:br/>
      </w:r>
      <w:r w:rsidRPr="001C7847">
        <w:rPr>
          <w:rFonts w:ascii="Arial" w:hAnsi="Arial" w:cs="Arial"/>
          <w:sz w:val="22"/>
          <w:szCs w:val="22"/>
          <w:lang w:val="es-ES_tradnl"/>
        </w:rPr>
        <w:t xml:space="preserve">La Colección Patricia Phelps de Cisneros (CPPC) tiene como misión promover el conocimiento y la valoración de las contribuciones de Latinoamérica a la historia del arte y de las ideas, así como apoyar la creatividad, educación e investigación en el campo del arte latinoamericano. A través de becas y alianzas, la CPPC además apoya el desarrollo profesional de artistas, curadores y académicos de América latina. Iniciativas recientes incluyen, entre otras, un apoyo para crear una Beca Curatorial en dOCUMENTA (13) en Kassel, Alemania; una alianza con el Hunter College (Nueva York) para crear el cargo </w:t>
      </w:r>
      <w:r w:rsidRPr="001C7847">
        <w:rPr>
          <w:rFonts w:ascii="Arial" w:hAnsi="Arial" w:cs="Arial"/>
          <w:i/>
          <w:sz w:val="22"/>
          <w:szCs w:val="22"/>
          <w:lang w:val="es-ES_tradnl"/>
        </w:rPr>
        <w:t>Patricia Phelps de Cisneros Profesor de Arte Latino Americano A</w:t>
      </w:r>
      <w:r w:rsidRPr="001C7847">
        <w:rPr>
          <w:rFonts w:ascii="Arial" w:hAnsi="Arial" w:cs="Arial"/>
          <w:sz w:val="22"/>
          <w:szCs w:val="22"/>
          <w:lang w:val="es-ES_tradnl"/>
        </w:rPr>
        <w:t xml:space="preserve">, y una alianza con el Bard Graduate Center (Nueva York) para organizar el </w:t>
      </w:r>
      <w:r w:rsidRPr="001C7847">
        <w:rPr>
          <w:rFonts w:ascii="Arial" w:hAnsi="Arial" w:cs="Arial"/>
          <w:i/>
          <w:sz w:val="22"/>
          <w:szCs w:val="22"/>
          <w:lang w:val="es-ES_tradnl"/>
        </w:rPr>
        <w:t>Seminario Cisneros en las culturas materiales del mundo Ibero-Americano</w:t>
      </w:r>
      <w:r w:rsidRPr="001C7847">
        <w:rPr>
          <w:rFonts w:ascii="Arial" w:hAnsi="Arial" w:cs="Arial"/>
          <w:sz w:val="22"/>
          <w:szCs w:val="22"/>
          <w:lang w:val="es-ES_tradnl"/>
        </w:rPr>
        <w:t xml:space="preserve">. </w:t>
      </w:r>
    </w:p>
    <w:p w14:paraId="52EB1FF5" w14:textId="77777777" w:rsidR="00956AF2" w:rsidRPr="001C7847" w:rsidRDefault="002A3A42" w:rsidP="00956AF2">
      <w:pPr>
        <w:ind w:left="-450" w:right="-630"/>
        <w:rPr>
          <w:rFonts w:ascii="Arial" w:hAnsi="Arial" w:cs="Arial"/>
          <w:sz w:val="22"/>
          <w:szCs w:val="22"/>
          <w:lang w:val="es-ES_tradnl"/>
        </w:rPr>
      </w:pPr>
      <w:hyperlink r:id="rId10" w:history="1">
        <w:r w:rsidR="00956AF2" w:rsidRPr="001C7847">
          <w:rPr>
            <w:rStyle w:val="Hyperlink"/>
            <w:rFonts w:ascii="Arial" w:hAnsi="Arial" w:cs="Arial"/>
            <w:sz w:val="22"/>
            <w:szCs w:val="22"/>
            <w:lang w:val="es-ES_tradnl"/>
          </w:rPr>
          <w:t>www.coleccioncisneros.org</w:t>
        </w:r>
      </w:hyperlink>
      <w:r w:rsidR="00956AF2" w:rsidRPr="001C7847">
        <w:rPr>
          <w:rFonts w:ascii="Arial" w:hAnsi="Arial" w:cs="Arial"/>
          <w:sz w:val="22"/>
          <w:szCs w:val="22"/>
          <w:lang w:val="es-ES_tradnl"/>
        </w:rPr>
        <w:t xml:space="preserve"> </w:t>
      </w:r>
    </w:p>
    <w:p w14:paraId="2135D68B" w14:textId="77777777" w:rsidR="00956AF2" w:rsidRPr="001C7847" w:rsidRDefault="00956AF2" w:rsidP="00956AF2">
      <w:pPr>
        <w:ind w:left="-450" w:right="-630"/>
        <w:rPr>
          <w:rFonts w:ascii="Arial" w:hAnsi="Arial" w:cs="Arial"/>
          <w:sz w:val="22"/>
          <w:szCs w:val="22"/>
          <w:lang w:val="es-ES_tradnl"/>
        </w:rPr>
      </w:pPr>
    </w:p>
    <w:p w14:paraId="2974527D" w14:textId="259CF5C9" w:rsidR="00956AF2" w:rsidRPr="001C7847" w:rsidRDefault="00956AF2" w:rsidP="00956AF2">
      <w:pPr>
        <w:ind w:left="-450" w:right="-630"/>
        <w:rPr>
          <w:rFonts w:ascii="Arial" w:hAnsi="Arial" w:cs="Arial"/>
          <w:sz w:val="22"/>
          <w:szCs w:val="22"/>
          <w:lang w:val="es-ES_tradnl"/>
        </w:rPr>
      </w:pPr>
      <w:r w:rsidRPr="001C7847">
        <w:rPr>
          <w:rFonts w:ascii="Arial" w:hAnsi="Arial" w:cs="Arial"/>
          <w:b/>
          <w:sz w:val="22"/>
          <w:szCs w:val="22"/>
          <w:lang w:val="es-ES_tradnl"/>
        </w:rPr>
        <w:t>Acerca de Independent Curators International</w:t>
      </w:r>
      <w:r w:rsidRPr="001C7847">
        <w:rPr>
          <w:rFonts w:ascii="Arial" w:hAnsi="Arial" w:cs="Arial"/>
          <w:sz w:val="22"/>
          <w:szCs w:val="22"/>
          <w:lang w:val="es-ES_tradnl"/>
        </w:rPr>
        <w:br/>
        <w:t>Independent Curators International (ICI) conecta a curadores emergentes y establecidos, artistas e instituciones para que forjen redes internacionales y generen nuevas formas de colaboración</w:t>
      </w:r>
      <w:r>
        <w:rPr>
          <w:rFonts w:ascii="Arial" w:hAnsi="Arial" w:cs="Arial"/>
          <w:sz w:val="22"/>
          <w:szCs w:val="22"/>
          <w:lang w:val="es-ES_tradnl"/>
        </w:rPr>
        <w:t>,</w:t>
      </w:r>
      <w:r w:rsidRPr="001C7847">
        <w:rPr>
          <w:rFonts w:ascii="Arial" w:hAnsi="Arial" w:cs="Arial"/>
          <w:sz w:val="22"/>
          <w:szCs w:val="22"/>
          <w:lang w:val="es-ES_tradnl"/>
        </w:rPr>
        <w:t xml:space="preserve"> a partir de la producción de exhibiciones, eventos, publicaciones y talleres de formación curatorial. </w:t>
      </w:r>
      <w:r>
        <w:rPr>
          <w:rFonts w:ascii="Arial" w:hAnsi="Arial" w:cs="Arial"/>
          <w:sz w:val="22"/>
          <w:szCs w:val="22"/>
          <w:lang w:val="es-ES_tradnl"/>
        </w:rPr>
        <w:t xml:space="preserve">Asentada en Nueva York, la organización ofrece acceso público a la gente y prácticas que son clave para el desarrollo curatorial actual y de la producción de exposiciones, inspirando nuevas formas de ver y contextualizar el arte contemporáneo. </w:t>
      </w:r>
      <w:r w:rsidRPr="001C7847">
        <w:rPr>
          <w:rFonts w:ascii="Arial" w:hAnsi="Arial" w:cs="Arial"/>
          <w:sz w:val="22"/>
          <w:szCs w:val="22"/>
          <w:lang w:val="es-ES_tradnl"/>
        </w:rPr>
        <w:t>Desde su fundación en</w:t>
      </w:r>
      <w:r w:rsidR="001C3809">
        <w:rPr>
          <w:rFonts w:ascii="Arial" w:hAnsi="Arial" w:cs="Arial"/>
          <w:sz w:val="22"/>
          <w:szCs w:val="22"/>
          <w:lang w:val="es-ES_tradnl"/>
        </w:rPr>
        <w:t xml:space="preserve"> </w:t>
      </w:r>
      <w:r w:rsidRPr="001C7847">
        <w:rPr>
          <w:rFonts w:ascii="Arial" w:hAnsi="Arial" w:cs="Arial"/>
          <w:sz w:val="22"/>
          <w:szCs w:val="22"/>
          <w:lang w:val="es-ES_tradnl"/>
        </w:rPr>
        <w:t>1975, ICI ha trabajado con más de 1</w:t>
      </w:r>
      <w:r w:rsidR="001C3809">
        <w:rPr>
          <w:rFonts w:ascii="Arial" w:hAnsi="Arial" w:cs="Arial"/>
          <w:sz w:val="22"/>
          <w:szCs w:val="22"/>
          <w:lang w:val="es-ES_tradnl"/>
        </w:rPr>
        <w:t>.</w:t>
      </w:r>
      <w:r w:rsidRPr="001C7847">
        <w:rPr>
          <w:rFonts w:ascii="Arial" w:hAnsi="Arial" w:cs="Arial"/>
          <w:sz w:val="22"/>
          <w:szCs w:val="22"/>
          <w:lang w:val="es-ES_tradnl"/>
        </w:rPr>
        <w:t>000 curadores y</w:t>
      </w:r>
      <w:r w:rsidR="001C3809">
        <w:rPr>
          <w:rFonts w:ascii="Arial" w:hAnsi="Arial" w:cs="Arial"/>
          <w:sz w:val="22"/>
          <w:szCs w:val="22"/>
          <w:lang w:val="es-ES_tradnl"/>
        </w:rPr>
        <w:t xml:space="preserve"> 3.</w:t>
      </w:r>
      <w:r w:rsidRPr="001C7847">
        <w:rPr>
          <w:rFonts w:ascii="Arial" w:hAnsi="Arial" w:cs="Arial"/>
          <w:sz w:val="22"/>
          <w:szCs w:val="22"/>
          <w:lang w:val="es-ES_tradnl"/>
        </w:rPr>
        <w:t xml:space="preserve">700 artistas de 47 </w:t>
      </w:r>
      <w:r>
        <w:rPr>
          <w:rFonts w:ascii="Arial" w:hAnsi="Arial" w:cs="Arial"/>
          <w:sz w:val="22"/>
          <w:szCs w:val="22"/>
          <w:lang w:val="es-ES_tradnl"/>
        </w:rPr>
        <w:t>paí</w:t>
      </w:r>
      <w:r w:rsidRPr="001C7847">
        <w:rPr>
          <w:rFonts w:ascii="Arial" w:hAnsi="Arial" w:cs="Arial"/>
          <w:sz w:val="22"/>
          <w:szCs w:val="22"/>
          <w:lang w:val="es-ES_tradnl"/>
        </w:rPr>
        <w:t xml:space="preserve">ses a nivel mundial. </w:t>
      </w:r>
    </w:p>
    <w:p w14:paraId="6E8D3D87" w14:textId="77777777" w:rsidR="00956AF2" w:rsidRPr="001C7847" w:rsidRDefault="002A3A42" w:rsidP="00956AF2">
      <w:pPr>
        <w:ind w:left="-450" w:right="-630"/>
        <w:rPr>
          <w:rFonts w:ascii="Arial" w:hAnsi="Arial" w:cs="Arial"/>
          <w:sz w:val="22"/>
          <w:szCs w:val="22"/>
          <w:lang w:val="es-ES_tradnl"/>
        </w:rPr>
      </w:pPr>
      <w:hyperlink r:id="rId11" w:history="1">
        <w:r w:rsidR="00956AF2" w:rsidRPr="001C7847">
          <w:rPr>
            <w:rStyle w:val="Hyperlink"/>
            <w:rFonts w:ascii="Arial" w:hAnsi="Arial" w:cs="Arial"/>
            <w:sz w:val="22"/>
            <w:szCs w:val="22"/>
            <w:lang w:val="es-ES_tradnl"/>
          </w:rPr>
          <w:t>www.curatorsintl.org</w:t>
        </w:r>
      </w:hyperlink>
      <w:r w:rsidR="00956AF2" w:rsidRPr="001C7847">
        <w:rPr>
          <w:rFonts w:ascii="Arial" w:hAnsi="Arial" w:cs="Arial"/>
          <w:sz w:val="22"/>
          <w:szCs w:val="22"/>
          <w:lang w:val="es-ES_tradnl"/>
        </w:rPr>
        <w:t xml:space="preserve"> </w:t>
      </w:r>
    </w:p>
    <w:p w14:paraId="3B7E661E" w14:textId="77777777" w:rsidR="00956AF2" w:rsidRPr="001C7847" w:rsidRDefault="00956AF2" w:rsidP="00956AF2">
      <w:pPr>
        <w:ind w:left="-450" w:right="-630"/>
        <w:rPr>
          <w:rFonts w:ascii="Arial" w:hAnsi="Arial" w:cs="Arial"/>
          <w:sz w:val="22"/>
          <w:szCs w:val="22"/>
          <w:lang w:val="es-ES_tradnl"/>
        </w:rPr>
      </w:pPr>
    </w:p>
    <w:p w14:paraId="7B207352" w14:textId="77777777" w:rsidR="00956AF2" w:rsidRPr="001C7847" w:rsidRDefault="00956AF2" w:rsidP="00956AF2">
      <w:pPr>
        <w:ind w:left="-450" w:right="-630"/>
        <w:rPr>
          <w:rFonts w:ascii="Arial" w:hAnsi="Arial" w:cs="Arial"/>
          <w:sz w:val="22"/>
          <w:szCs w:val="22"/>
          <w:lang w:val="es-ES_tradnl"/>
        </w:rPr>
      </w:pPr>
      <w:r w:rsidRPr="001C7847">
        <w:rPr>
          <w:rFonts w:ascii="Arial" w:hAnsi="Arial" w:cs="Arial"/>
          <w:noProof/>
          <w:sz w:val="22"/>
          <w:szCs w:val="22"/>
        </w:rPr>
        <w:drawing>
          <wp:inline distT="0" distB="0" distL="0" distR="0" wp14:anchorId="54876963" wp14:editId="69E2EECE">
            <wp:extent cx="3200400" cy="1185545"/>
            <wp:effectExtent l="25400" t="0" r="0" b="0"/>
            <wp:docPr id="3" name="Picture 3" descr="e-flux Cisnero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lux Cisneros logo"/>
                    <pic:cNvPicPr>
                      <a:picLocks noChangeAspect="1" noChangeArrowheads="1"/>
                    </pic:cNvPicPr>
                  </pic:nvPicPr>
                  <pic:blipFill>
                    <a:blip r:embed="rId12"/>
                    <a:srcRect/>
                    <a:stretch>
                      <a:fillRect/>
                    </a:stretch>
                  </pic:blipFill>
                  <pic:spPr bwMode="auto">
                    <a:xfrm>
                      <a:off x="0" y="0"/>
                      <a:ext cx="3200400" cy="1185545"/>
                    </a:xfrm>
                    <a:prstGeom prst="rect">
                      <a:avLst/>
                    </a:prstGeom>
                    <a:noFill/>
                    <a:ln w="9525">
                      <a:noFill/>
                      <a:miter lim="800000"/>
                      <a:headEnd/>
                      <a:tailEnd/>
                    </a:ln>
                  </pic:spPr>
                </pic:pic>
              </a:graphicData>
            </a:graphic>
          </wp:inline>
        </w:drawing>
      </w:r>
    </w:p>
    <w:p w14:paraId="26F51C9B" w14:textId="77777777" w:rsidR="00956AF2" w:rsidRDefault="00956AF2" w:rsidP="00956AF2">
      <w:pPr>
        <w:tabs>
          <w:tab w:val="left" w:pos="1893"/>
        </w:tabs>
      </w:pPr>
    </w:p>
    <w:sectPr w:rsidR="00956AF2" w:rsidSect="0099776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FuturaTMedRo1">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AA5969"/>
    <w:multiLevelType w:val="hybridMultilevel"/>
    <w:tmpl w:val="A952590C"/>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37D"/>
    <w:rsid w:val="001C3809"/>
    <w:rsid w:val="002A3A42"/>
    <w:rsid w:val="002A4565"/>
    <w:rsid w:val="002D46DB"/>
    <w:rsid w:val="004E40F9"/>
    <w:rsid w:val="00676F21"/>
    <w:rsid w:val="007E76BD"/>
    <w:rsid w:val="00956AF2"/>
    <w:rsid w:val="0099776D"/>
    <w:rsid w:val="00CF13BA"/>
    <w:rsid w:val="00D1337D"/>
    <w:rsid w:val="00DC2B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080D4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velope return"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956AF2"/>
    <w:rPr>
      <w:rFonts w:ascii="Arial" w:eastAsia="Times New Roman" w:hAnsi="Arial" w:cs="Times New Roman"/>
    </w:rPr>
  </w:style>
  <w:style w:type="paragraph" w:styleId="BalloonText">
    <w:name w:val="Balloon Text"/>
    <w:basedOn w:val="Normal"/>
    <w:link w:val="BalloonTextChar"/>
    <w:uiPriority w:val="99"/>
    <w:semiHidden/>
    <w:unhideWhenUsed/>
    <w:rsid w:val="00956AF2"/>
    <w:rPr>
      <w:rFonts w:ascii="Lucida Grande" w:hAnsi="Lucida Grande"/>
      <w:sz w:val="18"/>
      <w:szCs w:val="18"/>
    </w:rPr>
  </w:style>
  <w:style w:type="character" w:customStyle="1" w:styleId="BalloonTextChar">
    <w:name w:val="Balloon Text Char"/>
    <w:basedOn w:val="DefaultParagraphFont"/>
    <w:link w:val="BalloonText"/>
    <w:uiPriority w:val="99"/>
    <w:semiHidden/>
    <w:rsid w:val="00956AF2"/>
    <w:rPr>
      <w:rFonts w:ascii="Lucida Grande" w:hAnsi="Lucida Grande"/>
      <w:sz w:val="18"/>
      <w:szCs w:val="18"/>
    </w:rPr>
  </w:style>
  <w:style w:type="character" w:styleId="Hyperlink">
    <w:name w:val="Hyperlink"/>
    <w:uiPriority w:val="99"/>
    <w:rsid w:val="00956AF2"/>
    <w:rPr>
      <w:color w:val="0000FF"/>
      <w:u w:val="single"/>
    </w:rPr>
  </w:style>
  <w:style w:type="paragraph" w:styleId="ListParagraph">
    <w:name w:val="List Paragraph"/>
    <w:basedOn w:val="Normal"/>
    <w:uiPriority w:val="34"/>
    <w:qFormat/>
    <w:rsid w:val="00956AF2"/>
    <w:pPr>
      <w:ind w:left="720"/>
      <w:contextualSpacing/>
    </w:pPr>
    <w:rPr>
      <w:rFonts w:ascii="Cambria" w:eastAsia="Cambria" w:hAnsi="Cambria"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velope return"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956AF2"/>
    <w:rPr>
      <w:rFonts w:ascii="Arial" w:eastAsia="Times New Roman" w:hAnsi="Arial" w:cs="Times New Roman"/>
    </w:rPr>
  </w:style>
  <w:style w:type="paragraph" w:styleId="BalloonText">
    <w:name w:val="Balloon Text"/>
    <w:basedOn w:val="Normal"/>
    <w:link w:val="BalloonTextChar"/>
    <w:uiPriority w:val="99"/>
    <w:semiHidden/>
    <w:unhideWhenUsed/>
    <w:rsid w:val="00956AF2"/>
    <w:rPr>
      <w:rFonts w:ascii="Lucida Grande" w:hAnsi="Lucida Grande"/>
      <w:sz w:val="18"/>
      <w:szCs w:val="18"/>
    </w:rPr>
  </w:style>
  <w:style w:type="character" w:customStyle="1" w:styleId="BalloonTextChar">
    <w:name w:val="Balloon Text Char"/>
    <w:basedOn w:val="DefaultParagraphFont"/>
    <w:link w:val="BalloonText"/>
    <w:uiPriority w:val="99"/>
    <w:semiHidden/>
    <w:rsid w:val="00956AF2"/>
    <w:rPr>
      <w:rFonts w:ascii="Lucida Grande" w:hAnsi="Lucida Grande"/>
      <w:sz w:val="18"/>
      <w:szCs w:val="18"/>
    </w:rPr>
  </w:style>
  <w:style w:type="character" w:styleId="Hyperlink">
    <w:name w:val="Hyperlink"/>
    <w:uiPriority w:val="99"/>
    <w:rsid w:val="00956AF2"/>
    <w:rPr>
      <w:color w:val="0000FF"/>
      <w:u w:val="single"/>
    </w:rPr>
  </w:style>
  <w:style w:type="paragraph" w:styleId="ListParagraph">
    <w:name w:val="List Paragraph"/>
    <w:basedOn w:val="Normal"/>
    <w:uiPriority w:val="34"/>
    <w:qFormat/>
    <w:rsid w:val="00956AF2"/>
    <w:pPr>
      <w:ind w:left="720"/>
      <w:contextualSpacing/>
    </w:pPr>
    <w:rPr>
      <w:rFonts w:ascii="Cambria" w:eastAsia="Cambria" w:hAnsi="Cambr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6100374">
      <w:bodyDiv w:val="1"/>
      <w:marLeft w:val="0"/>
      <w:marRight w:val="0"/>
      <w:marTop w:val="0"/>
      <w:marBottom w:val="0"/>
      <w:divBdr>
        <w:top w:val="none" w:sz="0" w:space="0" w:color="auto"/>
        <w:left w:val="none" w:sz="0" w:space="0" w:color="auto"/>
        <w:bottom w:val="none" w:sz="0" w:space="0" w:color="auto"/>
        <w:right w:val="none" w:sz="0" w:space="0" w:color="auto"/>
      </w:divBdr>
    </w:div>
    <w:div w:id="20009564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uratorsintl.org" TargetMode="External"/><Relationship Id="rId12" Type="http://schemas.openxmlformats.org/officeDocument/2006/relationships/image" Target="media/image2.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mailto:research@curatorsintl.org" TargetMode="External"/><Relationship Id="rId8" Type="http://schemas.openxmlformats.org/officeDocument/2006/relationships/hyperlink" Target="http://www.curatorsintl.org/journal" TargetMode="External"/><Relationship Id="rId9" Type="http://schemas.openxmlformats.org/officeDocument/2006/relationships/hyperlink" Target="mailto:research@curatorsintl.org" TargetMode="External"/><Relationship Id="rId10" Type="http://schemas.openxmlformats.org/officeDocument/2006/relationships/hyperlink" Target="http://www.coleccioncisnero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1008</Words>
  <Characters>5750</Characters>
  <Application>Microsoft Macintosh Word</Application>
  <DocSecurity>0</DocSecurity>
  <Lines>47</Lines>
  <Paragraphs>13</Paragraphs>
  <ScaleCrop>false</ScaleCrop>
  <Company>ICI</Company>
  <LinksUpToDate>false</LinksUpToDate>
  <CharactersWithSpaces>6745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ICI Intern</dc:creator>
  <cp:keywords/>
  <dc:description/>
  <cp:lastModifiedBy>ICI Intern</cp:lastModifiedBy>
  <cp:revision>10</cp:revision>
  <dcterms:created xsi:type="dcterms:W3CDTF">2015-02-17T16:32:00Z</dcterms:created>
  <dcterms:modified xsi:type="dcterms:W3CDTF">2015-02-17T18:36:00Z</dcterms:modified>
</cp:coreProperties>
</file>